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23 310 / 58 vom 3. Mai 2023</w:t>
      </w:r>
    </w:p>
    <w:p>
      <w:r>
        <w:t>BL Gerichte, 2023-05-03, DE</w:t>
      </w:r>
    </w:p>
    <w:p>
      <w:r>
        <w:rPr>
          <w:b/>
        </w:rPr>
        <w:t xml:space="preserve">Quelle: </w:t>
      </w:r>
      <w:r>
        <w:t>https://mcp.opencaselaw.ch/entscheid/bl_gerichte_710 23 310 _ 58</w:t>
      </w:r>
    </w:p>
    <w:p>
      <w:r>
        <w:t>FR: BL_GERICHTE 710 23 310 / 58 du 3 mai 2023</w:t>
      </w:r>
    </w:p>
    <w:p>
      <w:r>
        <w:t>IT: BL_GERICHTE 710 23 310 / 58 del 3 maggio 2023</w:t>
      </w:r>
    </w:p>
    <w:p>
      <w:pPr>
        <w:pStyle w:val="Heading2"/>
      </w:pPr>
      <w:r>
        <w:t>Regeste</w:t>
      </w:r>
    </w:p>
    <w:p>
      <w:r>
        <w:t>Schadenersatz, Verletzung des Anspruchs auf rechtliches Gehör: Die Schadenersatzforderung gegenüber dem haftungspflichtigen Organ muss von der Ausgleichskasse so begründet werden, dass eine sachgerechte Anfechtung möglich ist.</w:t>
      </w:r>
    </w:p>
    <w:p>
      <w:pPr>
        <w:pStyle w:val="Heading2"/>
      </w:pPr>
      <w:r>
        <w:t>Erwägungen</w:t>
      </w:r>
    </w:p>
    <w:p>
      <w:r>
        <w:rPr>
          <w:b/>
        </w:rPr>
        <w:t>E. 2</w:t>
      </w:r>
    </w:p>
    <w:p>
      <w:r>
        <w:t>Materiell streitig und zu prüfen ist, ob der Beschwerdeführer gemäss Art. 52 AHVG für den von der Beschwerdegegnerin geltend gemachten Schaden haften muss.</w:t>
      </w:r>
    </w:p>
    <w:p>
      <w:r>
        <w:rPr>
          <w:b/>
        </w:rPr>
        <w:t>E. 2.1</w:t>
      </w:r>
    </w:p>
    <w:p>
      <w:r>
        <w:t>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Damit eine Schadenersatzpflicht entstehen kann, müssen alle Haftungsvoraussetzungen gegeben sein, d.h. es muss ein Schaden eingetreten sein, der auf widerrechtliches und schuldhaftes Verhalten der Arbeitgeberin und – subsidiär – des verantwortlichen Organs zurückzuführen ist.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die Erwerbsersatz- (Art. 21 Abs. 2 des Bundesgesetzes über den Erwerbsersatz vom 25. September 1952) und die Arbeitslosenversicherungsbeiträge (Art. 6 des Bundesgesetzes über die obligatorische Arbeitslosenversicherung und die Insolvenzentschädigung vom 25. Juni 1982) sowie auf die Beiträge an die Familienausgleichskassen gemäss dem Bundesgesetz über die Familienzulagen vom 24. März 2006 (Art. 25 lit. c).</w:t>
      </w:r>
    </w:p>
    <w:p>
      <w:r>
        <w:rPr>
          <w:b/>
        </w:rPr>
        <w:t>E. 2.2</w:t>
      </w:r>
    </w:p>
    <w:p>
      <w:r>
        <w:t>Der Beschwerdeführer stellt weder die grundsätzliche Pflicht zur Leistung der Sozialversicherungsbeiträge noch seine Haftung gemäss Art. 52 AHVG in Frage. Bestritten wird indessen die Höhe der Schadenersatzforderung und in diesem Zusammenhang insbesondere, dass die Beschwerdegegnerin ihre Schadenersatzforderung so dargelegt habe, dass eine substantiierte Anfechtung möglich sei. Damit rügt er eine Verletzung der Begründungspflicht und seines Anspruches auf Gewährung des rechtlichen Gehörs. 3.1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(BGE 144 I 11 E. 5.3 mit Hinweisen). 3.2 Wesentlicher Bestandteil des verfassungsrechtlichen Gehörsanspruchs ist sodann die Begründungspflicht, die für das sozialversicherungsrechtliche Verfahren ausdrücklich in Art. 49 Abs. 3 ATSG festgehalten ist. Danach muss der von einem Entscheid Betroffene in die Lage versetzt werden, diesen sachgerecht anfechten zu können (BGE 124 II 146 E. 2a). Die verfügende Behörde muss daher kurz ihre Überlegungen nennen, von denen sie sich leiten liess und auf die sich ihre Entscheidung stützt. Dies bedeutet zwar nicht, dass sie sich ausdrücklich mit jeder tatbestandlichen Behauptung und jedem rechtlichen Einwand auseinandersetzen muss. Vielmehr kann sie sich auf die für den Entscheid wesentlichen Gesichtspunkte beschränken (BGE 126 I 97 E. 2b, 124 V 180 E. 1a). Welchen Anforderungen eine Begründung im Einzelfall zu genügen hat, ist unter Berücksichtigung der konkreten Umstände sowie der Interessen der Betroffenen festzulegen. Wichtigstes Kriterium ist dabei die Eingriffsschwere. Eingehender zu begründen sind ferner Entscheide, denen komplexe sachverhaltliche oder rechtliche Umstände zugrunde liegen. Auch die Vorbringen der Verfahrensbeteiligten beeinflussen die erforderliche Begründungsdichte ( Lorenz Kneubühler , Kommentar zum Bundesgesetz über das Verwaltungsverfahren, Christoph Auer/Markus Müller/Benjamin Schindler [Hrsg.], 2. Auflage, Zürich/St. Gallen 2019, Rz. 7 und 10 ff. zu Art. 35, mit weiteren Hinweisen).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(BGE 124 V 180 E. 2b; Urteil des Eidgenössischen Versicherungsgerichts [EVG] vom 16. August 2004, U 101/04, E. 2.4). Die Begründung muss nicht zwingend in der Verfügung selbst enthalten sein; die Rechtsprechung hat als genügende Begründung auch den Verweis auf separate Schriftstücke, auf frühere Entscheide oder klare Angaben der Entscheidgründe in früheren Schreiben an die Verfügungsadressatinnen oder -adressaten anerkannt (BGE 123 I 31 E. 2c und d). 3.3 Der Anspruch auf rechtliches Gehör ist formeller Natur. Seine Verletzung führt ungeachtet der materiellen Begründetheit des Rechtsmittels grundsätzlich zur Gutheissung der Beschwerde und zur Aufhebung des angefochtenen Entscheids (BGE 144 I 11 E. 5.3, Urteil des Bundesgerichts vom 8. März 2023, 9C_343/2022, E. 3.3 mit Hinweisen).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(BGE 132 V 387 E. 5.1 mit Hinweisen). Darüber hinaus kann nach der Rechtsprechung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w:t>
      </w:r>
    </w:p>
    <w:p>
      <w:r>
        <w:rPr>
          <w:b/>
        </w:rPr>
        <w:t>E. 4</w:t>
      </w:r>
    </w:p>
    <w:p>
      <w:r>
        <w:t>Im vorliegenden Zusammenhang ist im Rahmen der Begründungspflicht insbesondere von Bedeutung, ob die Beschwerdegegnerin die Höhe der Schadenersatzforderung nachvollziehbar dargelegt hat, so dass es dem Beschwerdeführer möglich ist, diese substantiiert anzufechten. Dabei ist vorab auf Folgendes zu verweisen:</w:t>
      </w:r>
    </w:p>
    <w:p>
      <w:r>
        <w:rPr>
          <w:b/>
        </w:rPr>
        <w:t>E. 4.1</w:t>
      </w:r>
    </w:p>
    <w:p>
      <w:r>
        <w:t>Voraussetzung für eine Haftung nach Art. 52 AHVG ist das Vorliegen eines Schadens. Dieser besteht darin, dass der AHV ein ihr gesetzlich geschuldeter Beitrag entgeht. Die Höhe des Schadens entspricht dabei dem Betrag, den die 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w:t>
      </w:r>
    </w:p>
    <w:p>
      <w:r>
        <w:rPr>
          <w:b/>
        </w:rPr>
        <w:t>E. 4.2</w:t>
      </w:r>
    </w:p>
    <w:p>
      <w:r>
        <w:t>Der Schaden gilt als eingetreten, sobald anzunehmen ist, dass die geschuldeten Beiträge aus rechtlichen oder tatsächlichen Gründen nicht mehr erhoben werden können (BGE 126 V 443 E. 3a mit Hinweisen). Dies trifft dann zu, wenn die Beiträge wegen der Zahlungsunfähigkeit des Arbeitgebers nicht mehr im Verfahren nach Art. 14 ff. AHVG erhoben werden können (BGE 123 V 12 E. 5b, 112 V 156 E. 2; ZAK 1990 S. 287 E. 3b/aa). Eine solche tatsächliche Uneinbringlichkeit liegt namentlich vor, wenn die Ausgleichskasse in der gegen den Arbeitgeber eingeleiteten Betreibung auf Pfändung zu Verlust gekommen ist. Der Pfändungsverlustschein gemäss Art. 115 Abs. 1 in Verbindung mit Art. 149 des Bundesgesetzes über Schuldbetreibung und Konkurs (SchKG) vom 11. April 1889, welcher den Schaden grundsätzlich und in masslicher Hinsicht umschreibt, manifestiert, dass der Arbeitgeber seine Beitragspflicht nicht erfüllt hat und damit realistischerweise auch der Schadenersatzpflicht nach Art. 52 Abs. 1 AHVG nicht nachkommen kann. Deshalb steht vom Zeitpunkt der Ausstellung des Pfändungsverlustscheins hinweg einer Belangung der subsidiär haftbaren Organe nichts im Weg (BGE 113 V 256 E. 3c, 141 V 487, E. 2,2 mit Hinweisen).</w:t>
      </w:r>
    </w:p>
    <w:p>
      <w:r>
        <w:rPr>
          <w:b/>
        </w:rPr>
        <w:t>E. 5</w:t>
      </w:r>
    </w:p>
    <w:p>
      <w:r>
        <w:t>Die Beschwerdegegnerin hat zur Begründung ihrer Schadenersatzforderung folgende Aufstellungen vorgelegt:</w:t>
      </w:r>
    </w:p>
    <w:p>
      <w:r>
        <w:rPr>
          <w:b/>
        </w:rPr>
        <w:t>E. 5.1</w:t>
      </w:r>
    </w:p>
    <w:p>
      <w:r>
        <w:t>Der Schadenersatzverfügung vom 3. Mai 2023 war ein gleichentags erstellter Kontoauszug mit Darstellung der offenen Posten vom 6. Dezember 2018 bis 8. Dezember 2021 sowie der laufenden Buchungen vom 1. Januar 2003 bis 31. Dezember 2023 beigelegt. Die einzelnen Positionen in der Darstellung der offenen Posten betreffen monatliche Perioden. Die festgehaltenen Beträge sind in den laufenden Buchungen nicht verifizierbar, sondern betreffen augenscheinlich Abschreibungen. Die Beträge dieser Abschreibungen sind meist höher als die in Rechnung gestellten und unbezahlten Beiträge derselben Periode, was sich wohl aus den zusätzlichen in Rechnung gestellten Mahnkosten, Zinsen oder Betreibungskosten ergibt. Eine konkrete Aufteilung der Kosten findet sich in dieser von der Beschwerdegegnerin zur Verfügung gestellten Darstellung indessen nicht. Das Total beläuft sich, wie auch der Saldo der offenen Buchungen, auf die geltend gemachte Schadenersatzsumme von Fr. 85'138.50.</w:t>
      </w:r>
    </w:p>
    <w:p>
      <w:r>
        <w:rPr>
          <w:b/>
        </w:rPr>
        <w:t>E. 5.2</w:t>
      </w:r>
    </w:p>
    <w:p>
      <w:r>
        <w:t>In den Akten findet sich ferner eine Aufstellung von Abschreibungen, welche für die Jahre 2017 bis 2020 vorgenommen worden sind (SVA-Akten S. 336 ff.). Die einzelnen Positionen sind mit Abkürzungen bezeichnet, welche nicht ohne Weiteres zu entschlüsseln sind, betreffen jedoch augenscheinlich die Beiträge des pflichtigen Arbeitgebers sowie Verzugszinsen, Mahngelder und Bussen. Das Total dieser Abschreibungen beträgt ebenfalls Fr. 85'138.50.</w:t>
      </w:r>
    </w:p>
    <w:p>
      <w:r>
        <w:rPr>
          <w:b/>
        </w:rPr>
        <w:t>E. 5.3</w:t>
      </w:r>
    </w:p>
    <w:p>
      <w:r>
        <w:t>Im Rahmen des Einspracheverfahrens stellte die Beschwerdegegnerin dem Beschwerdeführer ausserdem eine weitere Aufstellung der Schadenersatzforderung zu (SVA-Akten S. 1671 f.). Diese betrifft wiederum die Jahre 2017 bis 2020 sowie die Revision der Jahre 2014 bis 2017. Das Total der nach Jahren aufgeteilten Beitragssummen, Verwaltungskosten, Mahngebühren, Betreibungskosten und Verzugszinsen beläuft sich wiederum auf Fr. 85'138.80. 6.1 Die genannten Aufstellungen umfassen jeweils unterschiedliche Zeiträume und die einzelnen Positionen werden nach unterschiedlichen Kriterien (monatlich, jährlich, einzelne Posten) dargestellt. Demzufolge finden sich in den jeweiligen Aufstellungen keine übereinstimmenden Beträge und ein Abgleich der verschiedenen Darstellungen ist nicht möglich. Auffällig ist, dass sich selbst zwischen den am 3. Mai 2023 dargestellten Abschreibungen keine Übereinstimmungen mit den in den Akten festgehaltenen Abschreibungen finden. Aufgrund der jeweils unterschiedlich dargestellten Zeiträume bleibt ferner unklar, welche Beitragsperioden überhaupt betroffen sind. Während die mit der Verfügung zugestellte Darstellung der offenen Posten augenscheinlich die Beitragsperioden vom Dezember 2018 bis Dezember 2020 betrifft, sind in den weiteren soeben dargestellten Aufstellungen auch Beitragsperioden des Jahres 2017 oder gar offene Beitragsrechnungen der Zeit von 2014 bis 2017 enthalten. Die dem Beschwerdeführer zugestellten bzw. den Akten zu entnehmenden Schadendarstellungen können nicht ohne Weiteres überprüft werden. Letztlich ist damit die Schadenhöhe aufgrund der in Erwägung 5 hiervor aufgeführten Darstellungen nicht nachvollziehbar. 6.2 Wie in Erwägung 4.2 hiervor ausgeführt, ist bei einem in einem Betreibungsverfahren ausgestellten Verlustschein von einem relevanten Schaden gemäss Art. 52 AHVG auszugehen. Eine detaillierte Sichtung der beinahe 2000 Seiten umfassenden Akten der Beschwerdegegnerin ergibt, dass verschiedene Positionen der Aufstellung «Offene Posten» vom 3. Mai 2023 mit Verlustscheinen belegt werden können. Ob die Durchsuchung der umfangreichen Akten zu diesem Zweck dem Beschwerdeführer zumutbar ist, erscheint fraglich, zumal die ihm zugestellte Aufstellung keinerlei Aktenhinweise enthält. In Bezug auf die Verlustscheine betreffend die offenen Posten vom 4. Oktober 2019 (AHV-Akten S. 1501) und 4. Dezember 2019 (AHV-Akten S. 1589) bestehen überdies geringe Abweichungen zwischen den Schadensummen, die sich nicht erklären lassen. Derweil ist festzustellen, dass sich für die offenen Posten mit den Datierungen 4. April 2019 und 9. Mai 2019 keinerlei Verlustscheine oder Rechnungen in den Akten finden. Ebenso liegen für die Posten mit den folgenden Datierungen lediglich Rechnungen – jedoch keine Verlustscheine – vor: 29. Juli 2020 (AHV-Akten S. 529, betrifft augenscheinlich eine Busse von Fr. 300.--), 5. September 2019 (AHV-Akten S. 1408), 25. September 2020 (AHV- Akten S. 1414), 3. Dezember 2020 (AHV-Akten S. 1433) und 8. Dezember 2020 (AHV-Akten S. 1522). Deren Höhen weichen überdies teilweise von den in der Aufstellung vom 3. Mai 2023 genannten Schadensummen ab. 6.3 Nach dem Ausgeführten wird deutlich, dass eine Prüfung der einzelnen Schadenersatzpositionen hinsichtlich der genauen Höhe sowie der konkreten Forderungsgründe nicht möglich ist. Selbst eine grobe Überprüfung der Schadenersatzhöhe ist bloss mit unverhältnismässigem Aufwand durchzuführen. Dem Beschwerdeführer war es damit nicht möglich, in zumutbarer Weise die Höhe der Schadenersatzforderung zu überprüfen und diese sachgerecht anzufechten. Damit hat die Beschwerdegegnerin ihre Begründungspflicht und folglich den Anspruch des Beschwerdeführers auf Wahrung des rechtlichen Gehörs verletzt (vgl. E. 3.2 hiervor). Eine Heilung im vorliegenden Verfahren ist weder möglich noch sinnvoll, da es die Beschwerdegegnerin selbst im Beschwerdeverfahren unterlassen hat, ihre Forderungssumme weiter aufzuschlüsseln oder begründet zu belegen, sondern in ihrer Vernehmlassung lediglich auf die bereits erstellten Unterlagen sowie auf das Aktendossier verwiesen hat. Der angefochtene Entscheid ist aus diesem Grunde aufzuheben (vgl. zum Ganzen auch: Urteil des Bundesgerichts vom 8. März 2023, 9C_343/2022). Die Angelegenheit ist an die Beschwerdegegnerin zurückzuweisen. Diese wird die Schadenersatzforderung aufzuschlüsseln und mittels Pfändungsverlustscheinen sowie allfälligen weiteren Unterlagen (Pfändungsurkunden) zu belegen haben. In diesem Zusammenhang wird sie einerseits zu beachten haben, dass gemäss bundesgerichtlicher Rechtsprechung Ordnungsbussen nicht Schadensbestandteil sind und sich deshalb dem Rückgriff nach Art. 52 AHVG entziehen (Urteil des Bundesgerichts vom 8. Oktober 2008, 9C_901/2007, E. 7 mit Hinweis). Andererseits wird sie die Verjährung einzelner Schadenersatzansprüche zu berücksichtigen haben. Diese Frage stellt sich nach Auffassung des Gerichts namentlich bei den ersten ausgestellten Verlustscheinen vom 27. April 2020 (AHV-Akten S. 1453 und 1455, offene Posten datieren vom 4. Juli 2019 und 8. August 2019). Die Beschwerdegegnerin wird die Schadenersatzforderung nach diesem Vorgehen neu zu verfügen haben. Die Beschwerde ist in diesem Sinne gutzuheissen. 7.1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7.2 Laut Art. 61 lit. g ATSG hat die obsiegende beschwerdeführende Partei Anspruch auf Ersatz der Parteikosten. Mit Honorarnote vom 21. November 2023 macht der Rechtsvertreter des Beschwerdeführers einen Aufwand von insgesamt 34 Stunden und 50 Minuten sowie Auslagen von Fr. 146.-- für das Einsprache- und Beschwerdeverfahren geltend. 7.2.1 Bezüglich der Zusprechung einer Parteientschädigung für das Einspracheverfahren ist festzuhalten, dass gemäss Art. 52 Abs. 3 Satz 1 ATSG das Verfahren vor dem Versicherungsträger kostenlos ist. Parteientschädigungen werden laut Satz 2 der genannten Bestimmung in der Regel nicht ausgerichtet. Eine ausnahmsweise Zusprache einer Parteientschädigung im Einspracheverfahren ist lediglich unter folgender Konstellation zulässig und geboten: Der Einsprecher, der nicht über die erforderlichen Mittel verfügt, um die Anwaltskosten selbst zu tragen, und im Falle des Unterliegens die unentgeltliche Verbeiständung (Art. 37 Abs. 4 ATSG) hätte beanspruchen können, soll bei Obsiegen vom unterliegenden Versicherungsträger entschädigt werden (Urteil des Bundesgerichts vom 28. Mai 2018, 9C_877/2017, E 8.2; BGE 130 V 570 E. 2.2). Nachdem die beschwerdeführende Partei im Einspracheverfahren nicht um Bewilligung der unentgeltlichen Verbeiständung ersucht hatte und vorliegend auch nicht geltend macht, sie sei damals prozessual bedürftig gewesen, besteht kein Anspruch auf eine Parteientschädigung für das Einspracheverfahren. 7.2.2 Auf das Beschwerdeverfahren entfällt ein Aufwand von 19 Stunden und 12 Minuten, wobei 2 Stunden und 40 Minuten auf Arbeiten des Rechtsvertreters selbst und 16 Stunden und 32 Minuten auf Arbeiten der in der Kanzlei angestellten juristischen Mitarbeiterin fallen. Die Bemühungen des Rechtsanwalts sind zu dem in Sozialversicherungsprozessen praxisgemäss für durchschnittliche Fälle zur Anwendung gelangenden Stundenansatz von Fr. 250.-- zu entschädigen. In Bezug auf die Bemühungen der juristischen Mitarbeiterin rechtfertigt sich nach Auffassung des Gerichts die analoge Anwendung des Stundenansatzes für juristische Verbandsangestellte von gemeinnützigen Organisationen. Dieser beläuft sich bei durchschnittlichen Fällen praxisgemäss auf Fr. 150.--. Dem Beschwerdeführer ist damit eine Parteientschädigung in der Höhe von Fr. 3'546.55 (2.67 Stunden à Fr. 250.-- und 16.53 Stunden à Fr. 150.-- plus Auslagen von Fr. 146.-- zuzüglich 7,7%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1. September 2023 aufgehoben und die Angelegenheit zum weiteren Vorgehen im Sinne der Erwägungen sowie zum Erlass einer neuen Verfügung an die Beschwerdegegnerin zurückgewiesen wird. 2. Es werden keine Verfahrenskosten erhoben. 3. Die Beschwerdegegnerin hat dem Beschwerdeführer eine reduzierte Parteientschädigung in der Höhe von Fr. 3'546.55 (inklusive Auslagen und 7,7%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